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B6EC" w14:textId="581DD09D" w:rsidR="00DA5A2E" w:rsidRDefault="00DA5A2E" w:rsidP="00DA5A2E">
      <w:pPr>
        <w:adjustRightInd w:val="0"/>
        <w:rPr>
          <w:rFonts w:ascii="Arial" w:hAnsi="Arial" w:cs="Arial"/>
          <w:color w:val="000000"/>
          <w:sz w:val="28"/>
          <w:szCs w:val="28"/>
        </w:rPr>
      </w:pPr>
      <w:r w:rsidRPr="00055153">
        <w:rPr>
          <w:rFonts w:ascii="Arial" w:hAnsi="Arial" w:cs="Arial"/>
          <w:color w:val="000000"/>
          <w:sz w:val="28"/>
          <w:szCs w:val="28"/>
        </w:rPr>
        <w:t>TISKOVÁ ZPRÁVA</w:t>
      </w:r>
    </w:p>
    <w:p w14:paraId="6A2758B8" w14:textId="77777777" w:rsidR="00DA5A2E" w:rsidRDefault="00DA5A2E" w:rsidP="00DA5A2E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28374A6" w14:textId="668A8A76" w:rsidR="00DA5A2E" w:rsidRPr="00996806" w:rsidRDefault="00DA5A2E" w:rsidP="00DA5A2E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996806">
        <w:rPr>
          <w:rFonts w:ascii="Arial" w:hAnsi="Arial" w:cs="Arial"/>
          <w:color w:val="000000"/>
          <w:sz w:val="18"/>
          <w:szCs w:val="18"/>
        </w:rPr>
        <w:t xml:space="preserve">Praha, dne 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996806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května</w:t>
      </w:r>
      <w:r w:rsidRPr="00996806">
        <w:rPr>
          <w:rFonts w:ascii="Arial" w:hAnsi="Arial" w:cs="Arial"/>
          <w:color w:val="000000"/>
          <w:sz w:val="18"/>
          <w:szCs w:val="18"/>
        </w:rPr>
        <w:t xml:space="preserve"> 202</w:t>
      </w:r>
      <w:r>
        <w:rPr>
          <w:rFonts w:ascii="Arial" w:hAnsi="Arial" w:cs="Arial"/>
          <w:color w:val="000000"/>
          <w:sz w:val="18"/>
          <w:szCs w:val="18"/>
        </w:rPr>
        <w:t>2</w:t>
      </w:r>
    </w:p>
    <w:p w14:paraId="1A7AE7FE" w14:textId="77777777" w:rsidR="00DA5A2E" w:rsidRPr="00996806" w:rsidRDefault="00DA5A2E" w:rsidP="00DA5A2E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14:paraId="7822BD33" w14:textId="4CEC9B87" w:rsidR="00DA5A2E" w:rsidRDefault="00DA5A2E" w:rsidP="00AE3731">
      <w:pPr>
        <w:shd w:val="clear" w:color="auto" w:fill="FFFFFF"/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Pr="007003E8">
        <w:rPr>
          <w:rFonts w:ascii="Arial" w:hAnsi="Arial" w:cs="Arial"/>
          <w:b/>
          <w:bCs/>
          <w:sz w:val="20"/>
          <w:szCs w:val="20"/>
        </w:rPr>
        <w:t xml:space="preserve">polečnost SATPO </w:t>
      </w:r>
      <w:r>
        <w:rPr>
          <w:rFonts w:ascii="Arial" w:hAnsi="Arial" w:cs="Arial"/>
          <w:b/>
          <w:bCs/>
          <w:sz w:val="20"/>
          <w:szCs w:val="20"/>
        </w:rPr>
        <w:t xml:space="preserve">úspěšně dokončila </w:t>
      </w:r>
      <w:r w:rsidR="002D6713">
        <w:rPr>
          <w:rFonts w:ascii="Arial" w:hAnsi="Arial" w:cs="Arial"/>
          <w:b/>
          <w:bCs/>
          <w:sz w:val="20"/>
          <w:szCs w:val="20"/>
        </w:rPr>
        <w:t>hrubou stavbu</w:t>
      </w:r>
      <w:r>
        <w:rPr>
          <w:rFonts w:ascii="Arial" w:hAnsi="Arial" w:cs="Arial"/>
          <w:b/>
          <w:bCs/>
          <w:sz w:val="20"/>
          <w:szCs w:val="20"/>
        </w:rPr>
        <w:t xml:space="preserve"> rezidenčních projektů Holečkova House a Rezidence Kobrova</w:t>
      </w:r>
      <w:r w:rsidR="00773CA1">
        <w:rPr>
          <w:rFonts w:ascii="Arial" w:hAnsi="Arial" w:cs="Arial"/>
          <w:b/>
          <w:bCs/>
          <w:sz w:val="20"/>
          <w:szCs w:val="20"/>
        </w:rPr>
        <w:t xml:space="preserve"> </w:t>
      </w:r>
      <w:r w:rsidR="002D6713">
        <w:rPr>
          <w:rFonts w:ascii="Arial" w:hAnsi="Arial" w:cs="Arial"/>
          <w:b/>
          <w:bCs/>
          <w:sz w:val="20"/>
          <w:szCs w:val="20"/>
        </w:rPr>
        <w:t>v centru Prahy.</w:t>
      </w:r>
    </w:p>
    <w:p w14:paraId="5BA977DD" w14:textId="79DAA7FE" w:rsidR="001A4C90" w:rsidRPr="00AE3731" w:rsidRDefault="001A4C90" w:rsidP="00AE373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0"/>
          <w:szCs w:val="20"/>
          <w:lang w:bidi="cs-CZ"/>
        </w:rPr>
      </w:pPr>
      <w:r w:rsidRPr="00AE3731">
        <w:rPr>
          <w:rFonts w:ascii="Arial" w:eastAsia="Calibri" w:hAnsi="Arial" w:cs="Arial"/>
          <w:sz w:val="20"/>
          <w:szCs w:val="20"/>
          <w:lang w:bidi="cs-CZ"/>
        </w:rPr>
        <w:t xml:space="preserve">U příležitosti </w:t>
      </w:r>
      <w:r w:rsidR="00E97E1D">
        <w:rPr>
          <w:rFonts w:ascii="Arial" w:eastAsia="Calibri" w:hAnsi="Arial" w:cs="Arial"/>
          <w:sz w:val="20"/>
          <w:szCs w:val="20"/>
          <w:lang w:bidi="cs-CZ"/>
        </w:rPr>
        <w:t>dokončení hrubé stavby rezidenčního projektu Holečkova House a Rezidence Kobrova</w:t>
      </w:r>
      <w:r w:rsidRPr="00AE3731">
        <w:rPr>
          <w:rFonts w:ascii="Arial" w:eastAsia="Calibri" w:hAnsi="Arial" w:cs="Arial"/>
          <w:sz w:val="20"/>
          <w:szCs w:val="20"/>
          <w:lang w:bidi="cs-CZ"/>
        </w:rPr>
        <w:t xml:space="preserve"> se v nejvyšším patře Rezidence Kobrova setkali zástupci stavební společnosti </w:t>
      </w:r>
      <w:proofErr w:type="spellStart"/>
      <w:r w:rsidRPr="00AE3731">
        <w:rPr>
          <w:rFonts w:ascii="Arial" w:eastAsia="Calibri" w:hAnsi="Arial" w:cs="Arial"/>
          <w:sz w:val="20"/>
          <w:szCs w:val="20"/>
          <w:lang w:bidi="cs-CZ"/>
        </w:rPr>
        <w:t>Hinton</w:t>
      </w:r>
      <w:proofErr w:type="spellEnd"/>
      <w:r w:rsidRPr="00AE3731">
        <w:rPr>
          <w:rFonts w:ascii="Arial" w:eastAsia="Calibri" w:hAnsi="Arial" w:cs="Arial"/>
          <w:sz w:val="20"/>
          <w:szCs w:val="20"/>
          <w:lang w:bidi="cs-CZ"/>
        </w:rPr>
        <w:t xml:space="preserve">, a.s., projektanti z kanceláře AED Project, a.s., vedení společnosti SATPO a nechyběla ani účast ze studia Schindler </w:t>
      </w:r>
      <w:proofErr w:type="spellStart"/>
      <w:r w:rsidRPr="00AE3731">
        <w:rPr>
          <w:rFonts w:ascii="Arial" w:eastAsia="Calibri" w:hAnsi="Arial" w:cs="Arial"/>
          <w:sz w:val="20"/>
          <w:szCs w:val="20"/>
          <w:lang w:bidi="cs-CZ"/>
        </w:rPr>
        <w:t>Seko</w:t>
      </w:r>
      <w:proofErr w:type="spellEnd"/>
      <w:r w:rsidRPr="00AE3731">
        <w:rPr>
          <w:rFonts w:ascii="Arial" w:eastAsia="Calibri" w:hAnsi="Arial" w:cs="Arial"/>
          <w:sz w:val="20"/>
          <w:szCs w:val="20"/>
          <w:lang w:bidi="cs-CZ"/>
        </w:rPr>
        <w:t xml:space="preserve"> Architekti, s.r.o. </w:t>
      </w:r>
      <w:r w:rsidR="00C30A41" w:rsidRPr="00AE3731">
        <w:rPr>
          <w:rFonts w:ascii="Arial" w:eastAsia="Calibri" w:hAnsi="Arial" w:cs="Arial"/>
          <w:sz w:val="20"/>
          <w:szCs w:val="20"/>
          <w:lang w:bidi="cs-CZ"/>
        </w:rPr>
        <w:t>a financující</w:t>
      </w:r>
      <w:r w:rsidRPr="00AE3731">
        <w:rPr>
          <w:rFonts w:ascii="Arial" w:eastAsia="Calibri" w:hAnsi="Arial" w:cs="Arial"/>
          <w:sz w:val="20"/>
          <w:szCs w:val="20"/>
          <w:lang w:bidi="cs-CZ"/>
        </w:rPr>
        <w:t xml:space="preserve"> banky obou projektů Trinity Bank, a.s. </w:t>
      </w:r>
    </w:p>
    <w:p w14:paraId="3362D00B" w14:textId="77777777" w:rsidR="000B646A" w:rsidRDefault="000B646A" w:rsidP="00AE373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  <w:sz w:val="23"/>
          <w:szCs w:val="23"/>
        </w:rPr>
      </w:pPr>
    </w:p>
    <w:p w14:paraId="23B72906" w14:textId="55AD5582" w:rsidR="002D6713" w:rsidRDefault="00A12A99" w:rsidP="000B64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„V aktuální nelehké době chybějících zdrojů a materiálu si o to více vážíme spolupráce se všemi partnery, kteří se podíleli na dokončení hrubé výstavby projektů Holečkova House a Rezidence Kobrova.“</w:t>
      </w:r>
      <w:r>
        <w:rPr>
          <w:rFonts w:ascii="Arial" w:hAnsi="Arial" w:cs="Arial"/>
          <w:sz w:val="20"/>
          <w:szCs w:val="20"/>
        </w:rPr>
        <w:t>, řekl v rámci slavnostního proslovu s přípitkem Ing. Jiří Dvořák, projektový ředitel společnosti SATPO.</w:t>
      </w:r>
      <w:r>
        <w:rPr>
          <w:rFonts w:ascii="Arial" w:hAnsi="Arial" w:cs="Arial"/>
          <w:sz w:val="20"/>
          <w:szCs w:val="20"/>
        </w:rPr>
        <w:t xml:space="preserve"> </w:t>
      </w:r>
      <w:r w:rsidR="001A4C90" w:rsidRPr="00AE3731">
        <w:rPr>
          <w:rFonts w:ascii="Arial" w:hAnsi="Arial" w:cs="Arial"/>
          <w:sz w:val="20"/>
          <w:szCs w:val="20"/>
        </w:rPr>
        <w:t xml:space="preserve">Následně pronesl pár slov i pan Petr Šimon, předseda představenstva stavební společnosti </w:t>
      </w:r>
      <w:proofErr w:type="spellStart"/>
      <w:r w:rsidR="001A4C90" w:rsidRPr="00AE3731">
        <w:rPr>
          <w:rFonts w:ascii="Arial" w:hAnsi="Arial" w:cs="Arial"/>
          <w:sz w:val="20"/>
          <w:szCs w:val="20"/>
        </w:rPr>
        <w:t>Hinton</w:t>
      </w:r>
      <w:proofErr w:type="spellEnd"/>
      <w:r w:rsidR="001A4C90" w:rsidRPr="00AE37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A4C90" w:rsidRPr="00AE3731">
        <w:rPr>
          <w:rFonts w:ascii="Arial" w:hAnsi="Arial" w:cs="Arial"/>
          <w:sz w:val="20"/>
          <w:szCs w:val="20"/>
        </w:rPr>
        <w:t>a.s.</w:t>
      </w:r>
      <w:r w:rsidR="00AE3731" w:rsidRPr="00AE3731">
        <w:rPr>
          <w:rFonts w:ascii="Arial" w:hAnsi="Arial" w:cs="Arial"/>
          <w:sz w:val="20"/>
          <w:szCs w:val="20"/>
        </w:rPr>
        <w:t xml:space="preserve"> </w:t>
      </w:r>
      <w:r w:rsidR="001A4C90" w:rsidRPr="00AE3731">
        <w:rPr>
          <w:rFonts w:ascii="Arial" w:hAnsi="Arial" w:cs="Arial"/>
          <w:sz w:val="20"/>
          <w:szCs w:val="20"/>
        </w:rPr>
        <w:t>Všichni hosté měli příležitost si nejen prohlédnout stavbu Rezidence Kobrova, ale i vidět úžasné výhledy na historické centrum Prahy</w:t>
      </w:r>
      <w:r w:rsidR="00DC1ED8">
        <w:rPr>
          <w:rFonts w:ascii="Arial" w:hAnsi="Arial" w:cs="Arial"/>
          <w:sz w:val="20"/>
          <w:szCs w:val="20"/>
        </w:rPr>
        <w:t xml:space="preserve">. </w:t>
      </w:r>
      <w:r w:rsidR="001A4C90" w:rsidRPr="00AE3731">
        <w:rPr>
          <w:rFonts w:ascii="Arial" w:hAnsi="Arial" w:cs="Arial"/>
          <w:sz w:val="20"/>
          <w:szCs w:val="20"/>
        </w:rPr>
        <w:t xml:space="preserve">Kolaudace </w:t>
      </w:r>
      <w:r w:rsidR="00DC1ED8">
        <w:rPr>
          <w:rFonts w:ascii="Arial" w:hAnsi="Arial" w:cs="Arial"/>
          <w:sz w:val="20"/>
          <w:szCs w:val="20"/>
        </w:rPr>
        <w:t xml:space="preserve">obou </w:t>
      </w:r>
      <w:r w:rsidR="001A4C90" w:rsidRPr="00AE3731">
        <w:rPr>
          <w:rFonts w:ascii="Arial" w:hAnsi="Arial" w:cs="Arial"/>
          <w:sz w:val="20"/>
          <w:szCs w:val="20"/>
        </w:rPr>
        <w:t>projekt</w:t>
      </w:r>
      <w:r w:rsidR="00DC1ED8">
        <w:rPr>
          <w:rFonts w:ascii="Arial" w:hAnsi="Arial" w:cs="Arial"/>
          <w:sz w:val="20"/>
          <w:szCs w:val="20"/>
        </w:rPr>
        <w:t>ů</w:t>
      </w:r>
      <w:r w:rsidR="001A4C90" w:rsidRPr="00AE3731">
        <w:rPr>
          <w:rFonts w:ascii="Arial" w:hAnsi="Arial" w:cs="Arial"/>
          <w:sz w:val="20"/>
          <w:szCs w:val="20"/>
        </w:rPr>
        <w:t xml:space="preserve"> je naplánov</w:t>
      </w:r>
      <w:r w:rsidR="00DC1ED8">
        <w:rPr>
          <w:rFonts w:ascii="Arial" w:hAnsi="Arial" w:cs="Arial"/>
          <w:sz w:val="20"/>
          <w:szCs w:val="20"/>
        </w:rPr>
        <w:t>aná</w:t>
      </w:r>
      <w:r w:rsidR="001A4C90" w:rsidRPr="00AE3731">
        <w:rPr>
          <w:rFonts w:ascii="Arial" w:hAnsi="Arial" w:cs="Arial"/>
          <w:sz w:val="20"/>
          <w:szCs w:val="20"/>
        </w:rPr>
        <w:t xml:space="preserve"> na </w:t>
      </w:r>
      <w:r w:rsidR="00DC1ED8">
        <w:rPr>
          <w:rFonts w:ascii="Arial" w:hAnsi="Arial" w:cs="Arial"/>
          <w:sz w:val="20"/>
          <w:szCs w:val="20"/>
        </w:rPr>
        <w:t xml:space="preserve">první kvartál </w:t>
      </w:r>
      <w:r w:rsidR="001A4C90" w:rsidRPr="00AE3731">
        <w:rPr>
          <w:rFonts w:ascii="Arial" w:hAnsi="Arial" w:cs="Arial"/>
          <w:sz w:val="20"/>
          <w:szCs w:val="20"/>
        </w:rPr>
        <w:t>roku 2023</w:t>
      </w:r>
      <w:r w:rsidR="00453EC6">
        <w:rPr>
          <w:rFonts w:ascii="Arial" w:hAnsi="Arial" w:cs="Arial"/>
          <w:sz w:val="20"/>
          <w:szCs w:val="20"/>
        </w:rPr>
        <w:t xml:space="preserve">. </w:t>
      </w:r>
      <w:r w:rsidR="001A4C90" w:rsidRPr="00AE3731">
        <w:rPr>
          <w:rFonts w:ascii="Arial" w:hAnsi="Arial" w:cs="Arial"/>
          <w:sz w:val="20"/>
          <w:szCs w:val="20"/>
        </w:rPr>
        <w:t xml:space="preserve"> </w:t>
      </w:r>
    </w:p>
    <w:p w14:paraId="3A589085" w14:textId="77777777" w:rsidR="00453EC6" w:rsidRPr="00AE3731" w:rsidRDefault="00453EC6" w:rsidP="000B646A">
      <w:pPr>
        <w:jc w:val="both"/>
        <w:rPr>
          <w:rFonts w:ascii="Arial" w:hAnsi="Arial" w:cs="Arial"/>
          <w:sz w:val="20"/>
          <w:szCs w:val="20"/>
        </w:rPr>
      </w:pPr>
    </w:p>
    <w:p w14:paraId="7237B13A" w14:textId="77777777" w:rsidR="000B646A" w:rsidRDefault="002D6713" w:rsidP="000B646A">
      <w:pPr>
        <w:pStyle w:val="Prosttext"/>
        <w:contextualSpacing/>
        <w:jc w:val="both"/>
        <w:rPr>
          <w:rFonts w:cs="Arial"/>
          <w:szCs w:val="20"/>
        </w:rPr>
      </w:pPr>
      <w:r w:rsidRPr="002D6713">
        <w:rPr>
          <w:rFonts w:cs="Arial"/>
          <w:szCs w:val="20"/>
        </w:rPr>
        <w:t xml:space="preserve">Developerské projekty Holečkova House a Rezidence Kobrova </w:t>
      </w:r>
      <w:r w:rsidR="000B646A">
        <w:rPr>
          <w:rFonts w:cs="Arial"/>
          <w:szCs w:val="20"/>
        </w:rPr>
        <w:t xml:space="preserve">nabídnou budoucím majitelům bytové jednotky 1+kk až 5+kk o výměře 31 </w:t>
      </w:r>
      <w:r w:rsidR="000B646A">
        <w:rPr>
          <w:rFonts w:cs="Arial"/>
          <w:noProof/>
          <w:szCs w:val="20"/>
        </w:rPr>
        <w:t>m</w:t>
      </w:r>
      <w:r w:rsidR="000B646A" w:rsidRPr="002A60C4">
        <w:rPr>
          <w:rFonts w:cs="Arial"/>
          <w:bCs/>
          <w:noProof/>
          <w:spacing w:val="6"/>
          <w:szCs w:val="20"/>
          <w:vertAlign w:val="superscript"/>
        </w:rPr>
        <w:t>2</w:t>
      </w:r>
      <w:r w:rsidR="000B646A">
        <w:rPr>
          <w:rFonts w:cs="Arial"/>
          <w:bCs/>
          <w:noProof/>
          <w:spacing w:val="6"/>
          <w:szCs w:val="20"/>
          <w:vertAlign w:val="superscript"/>
        </w:rPr>
        <w:t xml:space="preserve"> </w:t>
      </w:r>
      <w:r w:rsidR="000B646A">
        <w:rPr>
          <w:rFonts w:cs="Arial"/>
          <w:noProof/>
          <w:szCs w:val="20"/>
        </w:rPr>
        <w:t>až 211 m</w:t>
      </w:r>
      <w:r w:rsidR="000B646A" w:rsidRPr="002A60C4">
        <w:rPr>
          <w:rFonts w:cs="Arial"/>
          <w:bCs/>
          <w:noProof/>
          <w:spacing w:val="6"/>
          <w:szCs w:val="20"/>
          <w:vertAlign w:val="superscript"/>
        </w:rPr>
        <w:t>2</w:t>
      </w:r>
      <w:r w:rsidR="000B646A">
        <w:rPr>
          <w:rFonts w:cs="Arial"/>
          <w:szCs w:val="20"/>
        </w:rPr>
        <w:t xml:space="preserve"> a komerční prostor s výměrou 244 </w:t>
      </w:r>
      <w:r w:rsidR="000B646A" w:rsidRPr="00B13513">
        <w:rPr>
          <w:rFonts w:cs="Arial"/>
          <w:noProof/>
          <w:szCs w:val="20"/>
        </w:rPr>
        <w:t>m</w:t>
      </w:r>
      <w:r w:rsidR="000B646A" w:rsidRPr="00B13513">
        <w:rPr>
          <w:rFonts w:cs="Arial"/>
          <w:bCs/>
          <w:noProof/>
          <w:spacing w:val="6"/>
          <w:szCs w:val="20"/>
          <w:vertAlign w:val="superscript"/>
        </w:rPr>
        <w:t>2</w:t>
      </w:r>
      <w:r w:rsidR="000B646A">
        <w:rPr>
          <w:rFonts w:cs="Arial"/>
          <w:szCs w:val="20"/>
        </w:rPr>
        <w:t>. N</w:t>
      </w:r>
      <w:r w:rsidRPr="002D6713">
        <w:rPr>
          <w:rFonts w:cs="Arial"/>
          <w:szCs w:val="20"/>
        </w:rPr>
        <w:t xml:space="preserve">acházejí </w:t>
      </w:r>
      <w:r w:rsidR="000B646A">
        <w:rPr>
          <w:rFonts w:cs="Arial"/>
          <w:szCs w:val="20"/>
        </w:rPr>
        <w:t xml:space="preserve">se </w:t>
      </w:r>
      <w:r w:rsidRPr="002D6713">
        <w:rPr>
          <w:rFonts w:cs="Arial"/>
          <w:szCs w:val="20"/>
        </w:rPr>
        <w:t xml:space="preserve">v jižním svahu pod pražským Petřínem v těsné blízkosti parku </w:t>
      </w:r>
      <w:proofErr w:type="spellStart"/>
      <w:r w:rsidRPr="002D6713">
        <w:rPr>
          <w:rFonts w:cs="Arial"/>
          <w:szCs w:val="20"/>
        </w:rPr>
        <w:t>Sacre</w:t>
      </w:r>
      <w:proofErr w:type="spellEnd"/>
      <w:r w:rsidRPr="002D6713">
        <w:rPr>
          <w:rFonts w:cs="Arial"/>
          <w:szCs w:val="20"/>
        </w:rPr>
        <w:t xml:space="preserve"> </w:t>
      </w:r>
      <w:proofErr w:type="spellStart"/>
      <w:r w:rsidRPr="002D6713">
        <w:rPr>
          <w:rFonts w:cs="Arial"/>
          <w:szCs w:val="20"/>
        </w:rPr>
        <w:t>Coeur</w:t>
      </w:r>
      <w:proofErr w:type="spellEnd"/>
      <w:r w:rsidRPr="002D6713">
        <w:rPr>
          <w:rFonts w:cs="Arial"/>
          <w:szCs w:val="20"/>
        </w:rPr>
        <w:t xml:space="preserve">, mezi ulicemi Holečkova, Kmochova a Grafická. </w:t>
      </w:r>
    </w:p>
    <w:p w14:paraId="0332C5F0" w14:textId="77777777" w:rsidR="000B646A" w:rsidRDefault="000B646A" w:rsidP="000B646A">
      <w:pPr>
        <w:pStyle w:val="Prosttext"/>
        <w:contextualSpacing/>
        <w:jc w:val="both"/>
        <w:rPr>
          <w:rFonts w:cs="Arial"/>
          <w:szCs w:val="20"/>
        </w:rPr>
      </w:pPr>
    </w:p>
    <w:p w14:paraId="03345606" w14:textId="1622B6E9" w:rsidR="00AE3731" w:rsidRDefault="002D6713" w:rsidP="000B646A">
      <w:pPr>
        <w:pStyle w:val="Prosttext"/>
        <w:contextualSpacing/>
        <w:jc w:val="both"/>
        <w:rPr>
          <w:rFonts w:cs="Arial"/>
          <w:noProof/>
          <w:szCs w:val="20"/>
        </w:rPr>
      </w:pPr>
      <w:r w:rsidRPr="002D6713">
        <w:rPr>
          <w:rFonts w:cs="Arial"/>
          <w:szCs w:val="20"/>
        </w:rPr>
        <w:t xml:space="preserve">Architektonické návrhy obou rezidencí vychází ze stávající městské struktury, výšková návaznost domů drží rytmus </w:t>
      </w:r>
      <w:r w:rsidR="004B46BE">
        <w:rPr>
          <w:rFonts w:cs="Arial"/>
          <w:szCs w:val="20"/>
        </w:rPr>
        <w:t>s okolními</w:t>
      </w:r>
      <w:r w:rsidRPr="002D6713">
        <w:rPr>
          <w:rFonts w:cs="Arial"/>
          <w:szCs w:val="20"/>
        </w:rPr>
        <w:t xml:space="preserve"> částmi rezidenčních bloků. Obě novostavby nabízí jednotky ve vysokém standardu, </w:t>
      </w:r>
      <w:r w:rsidR="00BA4E20">
        <w:rPr>
          <w:rFonts w:cs="Arial"/>
          <w:szCs w:val="20"/>
        </w:rPr>
        <w:t xml:space="preserve">z </w:t>
      </w:r>
      <w:r w:rsidRPr="002D6713">
        <w:rPr>
          <w:rFonts w:cs="Arial"/>
          <w:szCs w:val="20"/>
        </w:rPr>
        <w:t>vyšší</w:t>
      </w:r>
      <w:r w:rsidR="00BA4E20">
        <w:rPr>
          <w:rFonts w:cs="Arial"/>
          <w:szCs w:val="20"/>
        </w:rPr>
        <w:t>ch</w:t>
      </w:r>
      <w:r w:rsidRPr="002D6713">
        <w:rPr>
          <w:rFonts w:cs="Arial"/>
          <w:szCs w:val="20"/>
        </w:rPr>
        <w:t xml:space="preserve"> pat</w:t>
      </w:r>
      <w:r w:rsidR="00BA4E20">
        <w:rPr>
          <w:rFonts w:cs="Arial"/>
          <w:szCs w:val="20"/>
        </w:rPr>
        <w:t>e</w:t>
      </w:r>
      <w:r w:rsidRPr="002D6713">
        <w:rPr>
          <w:rFonts w:cs="Arial"/>
          <w:szCs w:val="20"/>
        </w:rPr>
        <w:t>r</w:t>
      </w:r>
      <w:r w:rsidR="00BA4E20">
        <w:rPr>
          <w:rFonts w:cs="Arial"/>
          <w:szCs w:val="20"/>
        </w:rPr>
        <w:t xml:space="preserve"> jsou</w:t>
      </w:r>
      <w:r w:rsidRPr="002D6713">
        <w:rPr>
          <w:rFonts w:cs="Arial"/>
          <w:szCs w:val="20"/>
        </w:rPr>
        <w:t xml:space="preserve"> krásné výhledy na historické centrum Prahy. </w:t>
      </w:r>
      <w:r w:rsidR="00DC1ED8">
        <w:rPr>
          <w:rFonts w:cs="Arial"/>
          <w:szCs w:val="20"/>
        </w:rPr>
        <w:t>L</w:t>
      </w:r>
      <w:r w:rsidRPr="002D6713">
        <w:rPr>
          <w:rFonts w:cs="Arial"/>
          <w:szCs w:val="20"/>
        </w:rPr>
        <w:t>ogické dispoziční uspořádání, vybrané materiály, moderní technologie</w:t>
      </w:r>
      <w:r w:rsidR="004B46BE">
        <w:rPr>
          <w:rFonts w:cs="Arial"/>
          <w:szCs w:val="20"/>
        </w:rPr>
        <w:t xml:space="preserve"> a </w:t>
      </w:r>
      <w:r w:rsidRPr="002D6713">
        <w:rPr>
          <w:rFonts w:cs="Arial"/>
          <w:szCs w:val="20"/>
        </w:rPr>
        <w:t>vysoká kvalita finálního dokončení</w:t>
      </w:r>
      <w:r w:rsidR="004B46BE">
        <w:rPr>
          <w:rFonts w:cs="Arial"/>
          <w:szCs w:val="20"/>
        </w:rPr>
        <w:t>, to vše</w:t>
      </w:r>
      <w:r w:rsidRPr="002D6713">
        <w:rPr>
          <w:rFonts w:cs="Arial"/>
          <w:szCs w:val="20"/>
        </w:rPr>
        <w:t xml:space="preserve"> představuj</w:t>
      </w:r>
      <w:r w:rsidR="00453EC6">
        <w:rPr>
          <w:rFonts w:cs="Arial"/>
          <w:szCs w:val="20"/>
        </w:rPr>
        <w:t>e</w:t>
      </w:r>
      <w:r w:rsidRPr="002D6713">
        <w:rPr>
          <w:rFonts w:cs="Arial"/>
          <w:szCs w:val="20"/>
        </w:rPr>
        <w:t xml:space="preserve"> prémiový charakter </w:t>
      </w:r>
      <w:r w:rsidR="00453EC6">
        <w:rPr>
          <w:rFonts w:cs="Arial"/>
          <w:szCs w:val="20"/>
        </w:rPr>
        <w:t xml:space="preserve">obou </w:t>
      </w:r>
      <w:r w:rsidRPr="002D6713">
        <w:rPr>
          <w:rFonts w:cs="Arial"/>
          <w:szCs w:val="20"/>
        </w:rPr>
        <w:t>objektů</w:t>
      </w:r>
      <w:r w:rsidR="00453EC6">
        <w:rPr>
          <w:rFonts w:cs="Arial"/>
          <w:szCs w:val="20"/>
        </w:rPr>
        <w:t xml:space="preserve"> </w:t>
      </w:r>
      <w:r w:rsidRPr="002D6713">
        <w:rPr>
          <w:rFonts w:cs="Arial"/>
          <w:szCs w:val="20"/>
        </w:rPr>
        <w:t xml:space="preserve">a </w:t>
      </w:r>
      <w:r w:rsidR="00453EC6">
        <w:rPr>
          <w:rFonts w:cs="Arial"/>
          <w:szCs w:val="20"/>
        </w:rPr>
        <w:t>trvalou hodnotu</w:t>
      </w:r>
      <w:r w:rsidRPr="002D6713">
        <w:rPr>
          <w:rFonts w:cs="Arial"/>
          <w:szCs w:val="20"/>
        </w:rPr>
        <w:t xml:space="preserve"> z hlediska dlouhodobé investice. Samozřejmostí je dostatečný počet parkovacích stání a sklepních prostor. Bydlení v rezidenční</w:t>
      </w:r>
      <w:r w:rsidR="00AE3731">
        <w:rPr>
          <w:rFonts w:cs="Arial"/>
          <w:szCs w:val="20"/>
        </w:rPr>
        <w:t>ch</w:t>
      </w:r>
      <w:r w:rsidRPr="002D6713">
        <w:rPr>
          <w:rFonts w:cs="Arial"/>
          <w:szCs w:val="20"/>
        </w:rPr>
        <w:t xml:space="preserve"> projekt</w:t>
      </w:r>
      <w:r w:rsidR="00AE3731">
        <w:rPr>
          <w:rFonts w:cs="Arial"/>
          <w:szCs w:val="20"/>
        </w:rPr>
        <w:t>ech</w:t>
      </w:r>
      <w:r w:rsidRPr="002D6713">
        <w:rPr>
          <w:rFonts w:cs="Arial"/>
          <w:szCs w:val="20"/>
        </w:rPr>
        <w:t xml:space="preserve"> Holečkova House a v Rezidenc</w:t>
      </w:r>
      <w:r w:rsidR="009E61F1">
        <w:rPr>
          <w:rFonts w:cs="Arial"/>
          <w:szCs w:val="20"/>
        </w:rPr>
        <w:t>e</w:t>
      </w:r>
      <w:r w:rsidRPr="002D6713">
        <w:rPr>
          <w:rFonts w:cs="Arial"/>
          <w:szCs w:val="20"/>
        </w:rPr>
        <w:t xml:space="preserve"> Kobrova je určeno všem, kteří ocení docházkovou blízkost do historického centra hlavního města Prahy a zároveň vyhledávají klid</w:t>
      </w:r>
      <w:r w:rsidR="00E652CD">
        <w:rPr>
          <w:rFonts w:cs="Arial"/>
          <w:szCs w:val="20"/>
        </w:rPr>
        <w:t xml:space="preserve">né prostředí plné zeleně.  </w:t>
      </w:r>
    </w:p>
    <w:p w14:paraId="55DDE497" w14:textId="77777777" w:rsidR="004B46BE" w:rsidRDefault="004B46BE" w:rsidP="00DA5A2E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5DDCC9CE" w14:textId="4843CE59" w:rsidR="00DA5A2E" w:rsidRDefault="002D6713" w:rsidP="00DA5A2E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2D6713">
        <w:rPr>
          <w:rFonts w:ascii="Arial" w:hAnsi="Arial" w:cs="Arial"/>
          <w:sz w:val="20"/>
          <w:szCs w:val="20"/>
        </w:rPr>
        <w:t xml:space="preserve">Aktuální nabídka volných bytových jednotek je k dispozici na </w:t>
      </w:r>
      <w:hyperlink r:id="rId8" w:history="1">
        <w:r w:rsidRPr="00C8353A">
          <w:rPr>
            <w:rStyle w:val="Hypertextovodkaz"/>
            <w:rFonts w:ascii="Arial" w:hAnsi="Arial" w:cs="Arial"/>
            <w:sz w:val="20"/>
            <w:szCs w:val="20"/>
          </w:rPr>
          <w:t>www.satpo.cz</w:t>
        </w:r>
      </w:hyperlink>
      <w:r w:rsidR="00BA6E68">
        <w:rPr>
          <w:rFonts w:ascii="Arial" w:hAnsi="Arial" w:cs="Arial"/>
          <w:sz w:val="20"/>
          <w:szCs w:val="20"/>
        </w:rPr>
        <w:t>.</w:t>
      </w:r>
    </w:p>
    <w:p w14:paraId="1E988CDB" w14:textId="5D606275" w:rsidR="002D6713" w:rsidRDefault="002D6713" w:rsidP="00DA5A2E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13927576" w14:textId="77777777" w:rsidR="001A4C90" w:rsidRDefault="001A4C90" w:rsidP="001A4C90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394F85C" w14:textId="67E33C70" w:rsidR="001A4C90" w:rsidRDefault="001A4C90" w:rsidP="001A4C90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ZÁKLADNÍ INFORMACE O PROJEKTECH</w:t>
      </w:r>
    </w:p>
    <w:p w14:paraId="3508CC32" w14:textId="77777777" w:rsidR="001A4C90" w:rsidRDefault="001A4C90" w:rsidP="001A4C90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D8E6DDC" w14:textId="77777777" w:rsidR="001A4C90" w:rsidRDefault="001A4C90" w:rsidP="001A4C90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zahájení stavby</w:t>
      </w:r>
    </w:p>
    <w:p w14:paraId="4C1966A4" w14:textId="77777777" w:rsidR="001A4C90" w:rsidRPr="00F01838" w:rsidRDefault="001A4C90" w:rsidP="001A4C90">
      <w:pPr>
        <w:contextualSpacing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01838">
        <w:rPr>
          <w:rFonts w:ascii="Arial" w:hAnsi="Arial" w:cs="Arial"/>
          <w:bCs/>
          <w:color w:val="000000"/>
          <w:sz w:val="20"/>
          <w:szCs w:val="20"/>
        </w:rPr>
        <w:t>4.Q 2020</w:t>
      </w:r>
    </w:p>
    <w:p w14:paraId="1EF796FF" w14:textId="77777777" w:rsidR="001A4C90" w:rsidRDefault="001A4C90" w:rsidP="001A4C90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B686E42" w14:textId="17CFEC18" w:rsidR="001A4C90" w:rsidRPr="00B13513" w:rsidRDefault="001A4C90" w:rsidP="001A4C90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k</w:t>
      </w:r>
      <w:r w:rsidRPr="00B13513">
        <w:rPr>
          <w:rFonts w:ascii="Arial" w:hAnsi="Arial" w:cs="Arial"/>
          <w:b/>
          <w:color w:val="000000"/>
          <w:sz w:val="20"/>
          <w:szCs w:val="20"/>
        </w:rPr>
        <w:t>olaudace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 předání jednotek klientům</w:t>
      </w:r>
      <w:r w:rsidRPr="00B1351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13513">
        <w:rPr>
          <w:rFonts w:ascii="Arial" w:hAnsi="Arial" w:cs="Arial"/>
          <w:b/>
          <w:color w:val="000000"/>
          <w:sz w:val="20"/>
          <w:szCs w:val="20"/>
        </w:rPr>
        <w:tab/>
      </w:r>
    </w:p>
    <w:p w14:paraId="105AA79B" w14:textId="05E473D1" w:rsidR="001A4C90" w:rsidRPr="00B13513" w:rsidRDefault="001A4C90" w:rsidP="001A4C9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1.Q 2023</w:t>
      </w:r>
      <w:r w:rsidRPr="00B1351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E69CCC" w14:textId="77777777" w:rsidR="001A4C90" w:rsidRPr="00B13513" w:rsidRDefault="001A4C90" w:rsidP="001A4C90">
      <w:pPr>
        <w:pStyle w:val="Prosttext"/>
        <w:contextualSpacing/>
        <w:rPr>
          <w:rFonts w:cs="Arial"/>
          <w:szCs w:val="20"/>
        </w:rPr>
      </w:pPr>
    </w:p>
    <w:p w14:paraId="6C19F5A1" w14:textId="77777777" w:rsidR="001A4C90" w:rsidRPr="00B13513" w:rsidRDefault="001A4C90" w:rsidP="001A4C90">
      <w:pPr>
        <w:pStyle w:val="Prosttext"/>
        <w:contextualSpacing/>
        <w:rPr>
          <w:rFonts w:cs="Arial"/>
          <w:b/>
          <w:szCs w:val="20"/>
        </w:rPr>
      </w:pPr>
      <w:r w:rsidRPr="00B13513">
        <w:rPr>
          <w:rFonts w:cs="Arial"/>
          <w:b/>
          <w:szCs w:val="20"/>
        </w:rPr>
        <w:t>architekt</w:t>
      </w:r>
      <w:r>
        <w:rPr>
          <w:rFonts w:cs="Arial"/>
          <w:b/>
          <w:szCs w:val="20"/>
        </w:rPr>
        <w:t xml:space="preserve"> projektu</w:t>
      </w:r>
    </w:p>
    <w:p w14:paraId="3AF11DAF" w14:textId="77777777" w:rsidR="001A4C90" w:rsidRPr="00D02542" w:rsidRDefault="001A4C90" w:rsidP="001A4C90">
      <w:pPr>
        <w:pStyle w:val="Prosttext"/>
        <w:contextualSpacing/>
        <w:rPr>
          <w:rFonts w:cs="Arial"/>
          <w:color w:val="000000"/>
          <w:szCs w:val="20"/>
          <w:lang w:bidi="cs-CZ"/>
        </w:rPr>
      </w:pPr>
      <w:r w:rsidRPr="00D02542">
        <w:rPr>
          <w:rFonts w:cs="Arial"/>
          <w:color w:val="000000"/>
          <w:szCs w:val="20"/>
          <w:lang w:bidi="cs-CZ"/>
        </w:rPr>
        <w:t>SCHINDLER SEKO ARCHITEKTI s.r.o</w:t>
      </w:r>
    </w:p>
    <w:p w14:paraId="4F0C8BEE" w14:textId="77777777" w:rsidR="001A4C90" w:rsidRDefault="001A4C90" w:rsidP="001A4C90">
      <w:pPr>
        <w:pStyle w:val="Prosttext"/>
        <w:contextualSpacing/>
        <w:rPr>
          <w:rFonts w:cs="Arial"/>
          <w:szCs w:val="20"/>
        </w:rPr>
      </w:pPr>
    </w:p>
    <w:p w14:paraId="36C89E28" w14:textId="283BC3B6" w:rsidR="001A4C90" w:rsidRPr="00B13513" w:rsidRDefault="001A4C90" w:rsidP="001A4C90">
      <w:pPr>
        <w:pStyle w:val="Prosttext"/>
        <w:contextualSpacing/>
        <w:rPr>
          <w:rFonts w:cs="Arial"/>
          <w:b/>
          <w:szCs w:val="20"/>
        </w:rPr>
      </w:pPr>
      <w:r w:rsidRPr="00B13513">
        <w:rPr>
          <w:rFonts w:cs="Arial"/>
          <w:b/>
          <w:szCs w:val="20"/>
        </w:rPr>
        <w:t>dodavatel stav</w:t>
      </w:r>
      <w:r>
        <w:rPr>
          <w:rFonts w:cs="Arial"/>
          <w:b/>
          <w:szCs w:val="20"/>
        </w:rPr>
        <w:t>by</w:t>
      </w:r>
    </w:p>
    <w:p w14:paraId="49682D10" w14:textId="50727FD2" w:rsidR="001A4C90" w:rsidRDefault="001A4C90" w:rsidP="001A4C90">
      <w:pPr>
        <w:pStyle w:val="Prosttext"/>
        <w:contextualSpacing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Hinton</w:t>
      </w:r>
      <w:proofErr w:type="spellEnd"/>
      <w:r>
        <w:rPr>
          <w:rFonts w:cs="Arial"/>
          <w:szCs w:val="20"/>
        </w:rPr>
        <w:t>, a.s.</w:t>
      </w:r>
    </w:p>
    <w:p w14:paraId="539E7D72" w14:textId="64FB1FBF" w:rsidR="00BA6E68" w:rsidRDefault="00BA6E68" w:rsidP="001A4C90">
      <w:pPr>
        <w:pStyle w:val="Prosttext"/>
        <w:contextualSpacing/>
        <w:rPr>
          <w:rFonts w:cs="Arial"/>
          <w:szCs w:val="20"/>
        </w:rPr>
      </w:pPr>
    </w:p>
    <w:p w14:paraId="30F6A3A6" w14:textId="57D58DEF" w:rsidR="00BA6E68" w:rsidRPr="00BA6E68" w:rsidRDefault="00BA6E68" w:rsidP="001A4C90">
      <w:pPr>
        <w:pStyle w:val="Prosttext"/>
        <w:contextualSpacing/>
        <w:rPr>
          <w:rFonts w:cs="Arial"/>
          <w:b/>
          <w:szCs w:val="20"/>
        </w:rPr>
      </w:pPr>
      <w:r w:rsidRPr="00BA6E68">
        <w:rPr>
          <w:rFonts w:cs="Arial"/>
          <w:b/>
          <w:szCs w:val="20"/>
        </w:rPr>
        <w:t>projektant</w:t>
      </w:r>
    </w:p>
    <w:p w14:paraId="36B2FE44" w14:textId="14122310" w:rsidR="00BA6E68" w:rsidRDefault="00BA6E68" w:rsidP="001A4C90">
      <w:pPr>
        <w:pStyle w:val="Prosttext"/>
        <w:contextualSpacing/>
        <w:rPr>
          <w:rFonts w:cs="Arial"/>
          <w:szCs w:val="20"/>
        </w:rPr>
      </w:pPr>
      <w:r>
        <w:rPr>
          <w:rFonts w:cs="Arial"/>
          <w:szCs w:val="20"/>
        </w:rPr>
        <w:t>AED Project, a.s.</w:t>
      </w:r>
    </w:p>
    <w:p w14:paraId="1CC8E8B5" w14:textId="77777777" w:rsidR="00BA6E68" w:rsidRDefault="00BA6E68" w:rsidP="001A4C90">
      <w:pPr>
        <w:pStyle w:val="Prosttext"/>
        <w:contextualSpacing/>
        <w:rPr>
          <w:rFonts w:cs="Arial"/>
          <w:szCs w:val="20"/>
        </w:rPr>
      </w:pPr>
    </w:p>
    <w:p w14:paraId="52DECAA6" w14:textId="58378521" w:rsidR="00BA6E68" w:rsidRPr="00BA6E68" w:rsidRDefault="00BA6E68" w:rsidP="001A4C90">
      <w:pPr>
        <w:pStyle w:val="Prosttext"/>
        <w:contextualSpacing/>
        <w:rPr>
          <w:rFonts w:cs="Arial"/>
          <w:b/>
          <w:szCs w:val="20"/>
        </w:rPr>
      </w:pPr>
      <w:r>
        <w:rPr>
          <w:rFonts w:cs="Arial"/>
          <w:b/>
          <w:szCs w:val="20"/>
        </w:rPr>
        <w:t>f</w:t>
      </w:r>
      <w:r w:rsidRPr="00BA6E68">
        <w:rPr>
          <w:rFonts w:cs="Arial"/>
          <w:b/>
          <w:szCs w:val="20"/>
        </w:rPr>
        <w:t>inancující banka</w:t>
      </w:r>
    </w:p>
    <w:p w14:paraId="5DE92416" w14:textId="1A838BB1" w:rsidR="00BA6E68" w:rsidRPr="00B13513" w:rsidRDefault="00BA6E68" w:rsidP="001A4C90">
      <w:pPr>
        <w:pStyle w:val="Prosttext"/>
        <w:contextualSpacing/>
        <w:rPr>
          <w:rFonts w:cs="Arial"/>
          <w:szCs w:val="20"/>
        </w:rPr>
      </w:pPr>
      <w:r>
        <w:rPr>
          <w:rFonts w:cs="Arial"/>
          <w:szCs w:val="20"/>
        </w:rPr>
        <w:t xml:space="preserve">Trinity Bank, a.s. </w:t>
      </w:r>
    </w:p>
    <w:p w14:paraId="3C95920F" w14:textId="77777777" w:rsidR="001A4C90" w:rsidRDefault="001A4C90" w:rsidP="001A4C9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1111BB8" w14:textId="77777777" w:rsidR="001A4C90" w:rsidRPr="00B13513" w:rsidRDefault="001A4C90" w:rsidP="001A4C90">
      <w:pPr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699E0B9" w14:textId="77777777" w:rsidR="009E61F1" w:rsidRDefault="009E61F1" w:rsidP="00DA5A2E">
      <w:pPr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7A36D31A" w14:textId="5E008FCF" w:rsidR="00DA5A2E" w:rsidRPr="00996806" w:rsidRDefault="00DA5A2E" w:rsidP="00DA5A2E">
      <w:pPr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96806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O SPOLEČNOSTI </w:t>
      </w:r>
    </w:p>
    <w:p w14:paraId="244D8289" w14:textId="77777777" w:rsidR="00DA5A2E" w:rsidRPr="00996806" w:rsidRDefault="00DA5A2E" w:rsidP="00DA5A2E">
      <w:pPr>
        <w:adjustRightInd w:val="0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4C957F6F" w14:textId="6F6352FE" w:rsidR="00DA5A2E" w:rsidRPr="008716B9" w:rsidRDefault="00DA5A2E" w:rsidP="00DA5A2E">
      <w:pPr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102574345"/>
      <w:r w:rsidRPr="00996806">
        <w:rPr>
          <w:rFonts w:ascii="Arial" w:hAnsi="Arial" w:cs="Arial"/>
          <w:sz w:val="18"/>
          <w:szCs w:val="18"/>
        </w:rPr>
        <w:t>Skupina SATPO působí na českém</w:t>
      </w:r>
      <w:r>
        <w:rPr>
          <w:rFonts w:ascii="Arial" w:hAnsi="Arial" w:cs="Arial"/>
          <w:sz w:val="18"/>
          <w:szCs w:val="18"/>
        </w:rPr>
        <w:t xml:space="preserve"> realitním</w:t>
      </w:r>
      <w:r w:rsidRPr="00996806">
        <w:rPr>
          <w:rFonts w:ascii="Arial" w:hAnsi="Arial" w:cs="Arial"/>
          <w:sz w:val="18"/>
          <w:szCs w:val="18"/>
        </w:rPr>
        <w:t xml:space="preserve"> trhu </w:t>
      </w:r>
      <w:r>
        <w:rPr>
          <w:rFonts w:ascii="Arial" w:hAnsi="Arial" w:cs="Arial"/>
          <w:sz w:val="18"/>
          <w:szCs w:val="18"/>
        </w:rPr>
        <w:t xml:space="preserve">od roku 1994. </w:t>
      </w:r>
      <w:r w:rsidRPr="00996806">
        <w:rPr>
          <w:rFonts w:ascii="Arial" w:hAnsi="Arial" w:cs="Arial"/>
          <w:sz w:val="18"/>
          <w:szCs w:val="18"/>
        </w:rPr>
        <w:t xml:space="preserve">Převážně v Praze se specializuje </w:t>
      </w:r>
      <w:r>
        <w:rPr>
          <w:rFonts w:ascii="Arial" w:hAnsi="Arial" w:cs="Arial"/>
          <w:color w:val="000000"/>
          <w:sz w:val="18"/>
          <w:szCs w:val="18"/>
        </w:rPr>
        <w:t>n</w:t>
      </w:r>
      <w:r w:rsidR="00453EC6">
        <w:rPr>
          <w:rFonts w:ascii="Arial" w:hAnsi="Arial" w:cs="Arial"/>
          <w:color w:val="000000"/>
          <w:sz w:val="18"/>
          <w:szCs w:val="18"/>
        </w:rPr>
        <w:t xml:space="preserve">a </w:t>
      </w:r>
      <w:r w:rsidR="00453EC6" w:rsidRPr="00435FBC">
        <w:rPr>
          <w:rFonts w:ascii="Arial" w:hAnsi="Arial" w:cs="Arial"/>
          <w:color w:val="000000"/>
          <w:sz w:val="18"/>
          <w:szCs w:val="18"/>
        </w:rPr>
        <w:t xml:space="preserve">developerské </w:t>
      </w:r>
      <w:r w:rsidR="00453EC6">
        <w:rPr>
          <w:rFonts w:ascii="Arial" w:hAnsi="Arial" w:cs="Arial"/>
          <w:color w:val="000000"/>
          <w:sz w:val="18"/>
          <w:szCs w:val="18"/>
        </w:rPr>
        <w:t xml:space="preserve">rezidenční </w:t>
      </w:r>
      <w:r w:rsidR="00453EC6" w:rsidRPr="00435FBC">
        <w:rPr>
          <w:rFonts w:ascii="Arial" w:hAnsi="Arial" w:cs="Arial"/>
          <w:color w:val="000000"/>
          <w:sz w:val="18"/>
          <w:szCs w:val="18"/>
        </w:rPr>
        <w:t>projekty</w:t>
      </w:r>
      <w:r w:rsidR="00453EC6">
        <w:rPr>
          <w:rFonts w:ascii="Arial" w:hAnsi="Arial" w:cs="Arial"/>
          <w:color w:val="000000"/>
          <w:sz w:val="18"/>
          <w:szCs w:val="18"/>
        </w:rPr>
        <w:t xml:space="preserve">, </w:t>
      </w:r>
      <w:r w:rsidRPr="00435FBC">
        <w:rPr>
          <w:rFonts w:ascii="Arial" w:hAnsi="Arial" w:cs="Arial"/>
          <w:color w:val="000000"/>
          <w:sz w:val="18"/>
          <w:szCs w:val="18"/>
        </w:rPr>
        <w:t>ideální podíly v činžovních domech,</w:t>
      </w:r>
      <w:r w:rsidRPr="00FD1DED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kupuje </w:t>
      </w:r>
      <w:r w:rsidRPr="00435FBC">
        <w:rPr>
          <w:rFonts w:ascii="Arial" w:hAnsi="Arial" w:cs="Arial"/>
          <w:color w:val="000000"/>
          <w:sz w:val="18"/>
          <w:szCs w:val="18"/>
        </w:rPr>
        <w:t>pozemky pro budoucí development</w:t>
      </w:r>
      <w:r>
        <w:rPr>
          <w:rFonts w:ascii="Arial" w:hAnsi="Arial" w:cs="Arial"/>
          <w:color w:val="000000"/>
          <w:sz w:val="18"/>
          <w:szCs w:val="18"/>
        </w:rPr>
        <w:t xml:space="preserve"> a </w:t>
      </w:r>
      <w:r w:rsidRPr="00435FBC">
        <w:rPr>
          <w:rFonts w:ascii="Arial" w:hAnsi="Arial" w:cs="Arial"/>
          <w:color w:val="000000"/>
          <w:sz w:val="18"/>
          <w:szCs w:val="18"/>
        </w:rPr>
        <w:t>celé činžovní domy, </w:t>
      </w:r>
      <w:r>
        <w:rPr>
          <w:rFonts w:ascii="Arial" w:hAnsi="Arial" w:cs="Arial"/>
          <w:color w:val="000000"/>
          <w:sz w:val="18"/>
          <w:szCs w:val="18"/>
        </w:rPr>
        <w:t xml:space="preserve">zajišťuje </w:t>
      </w:r>
      <w:r w:rsidRPr="00435FBC">
        <w:rPr>
          <w:rFonts w:ascii="Arial" w:hAnsi="Arial" w:cs="Arial"/>
          <w:color w:val="000000"/>
          <w:sz w:val="18"/>
          <w:szCs w:val="18"/>
        </w:rPr>
        <w:t>prodej bytových</w:t>
      </w:r>
      <w:r>
        <w:rPr>
          <w:rFonts w:ascii="Arial" w:hAnsi="Arial" w:cs="Arial"/>
          <w:color w:val="000000"/>
          <w:sz w:val="18"/>
          <w:szCs w:val="18"/>
        </w:rPr>
        <w:t xml:space="preserve"> a </w:t>
      </w:r>
      <w:r w:rsidRPr="00435FBC">
        <w:rPr>
          <w:rFonts w:ascii="Arial" w:hAnsi="Arial" w:cs="Arial"/>
          <w:color w:val="000000"/>
          <w:sz w:val="18"/>
          <w:szCs w:val="18"/>
        </w:rPr>
        <w:t>nebytových jednotek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435FBC">
        <w:rPr>
          <w:rFonts w:ascii="Arial" w:hAnsi="Arial" w:cs="Arial"/>
          <w:color w:val="000000"/>
          <w:sz w:val="18"/>
          <w:szCs w:val="18"/>
        </w:rPr>
        <w:t>pronájmy komerčních prostor.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Profesionální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 obchodní</w:t>
      </w:r>
      <w:r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 tým je zkušeným rádcem při výběru nového bydlení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 xml:space="preserve">, </w:t>
      </w:r>
      <w:r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nabízí veškeré služby spojené </w:t>
      </w:r>
      <w:r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s</w:t>
      </w:r>
      <w:r>
        <w:rPr>
          <w:rFonts w:ascii="Arial" w:eastAsia="Times New Roman" w:hAnsi="Arial" w:cs="Arial"/>
          <w:color w:val="000000"/>
          <w:sz w:val="18"/>
          <w:szCs w:val="18"/>
          <w:lang w:bidi="ar-SA"/>
        </w:rPr>
        <w:t> </w:t>
      </w:r>
      <w:r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pořízením</w:t>
      </w:r>
      <w:r>
        <w:rPr>
          <w:rFonts w:ascii="Arial" w:eastAsia="Times New Roman" w:hAnsi="Arial" w:cs="Arial"/>
          <w:color w:val="000000"/>
          <w:sz w:val="18"/>
          <w:szCs w:val="18"/>
          <w:lang w:bidi="ar-SA"/>
        </w:rPr>
        <w:t xml:space="preserve">, </w:t>
      </w:r>
      <w:r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financováním</w:t>
      </w:r>
      <w:r>
        <w:rPr>
          <w:rFonts w:ascii="Arial" w:eastAsia="Times New Roman" w:hAnsi="Arial" w:cs="Arial"/>
          <w:color w:val="000000"/>
          <w:sz w:val="18"/>
          <w:szCs w:val="18"/>
          <w:lang w:bidi="ar-SA"/>
        </w:rPr>
        <w:t xml:space="preserve"> a zprostředkováním nemovitosti</w:t>
      </w:r>
      <w:r w:rsidRPr="00AA574B">
        <w:rPr>
          <w:rFonts w:ascii="Arial" w:eastAsia="Times New Roman" w:hAnsi="Arial" w:cs="Arial"/>
          <w:color w:val="000000"/>
          <w:sz w:val="18"/>
          <w:szCs w:val="18"/>
          <w:lang w:bidi="ar-SA"/>
        </w:rPr>
        <w:t>, možnost klientských změn a interiéru na klíč včetně doplňkových služeb </w:t>
      </w:r>
      <w:r w:rsidRPr="00AA574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v příjemném prostředí prodejního centra SATPO</w:t>
      </w:r>
      <w:r w:rsidR="004B46BE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bidi="ar-SA"/>
        </w:rPr>
        <w:t>.</w:t>
      </w:r>
    </w:p>
    <w:p w14:paraId="1E46B1F9" w14:textId="77777777" w:rsidR="00DA5A2E" w:rsidRPr="00996806" w:rsidRDefault="00DA5A2E" w:rsidP="00DA5A2E">
      <w:pPr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14:paraId="19265F79" w14:textId="7CCF8097" w:rsidR="00DA5A2E" w:rsidRPr="00996806" w:rsidRDefault="00DA5A2E" w:rsidP="00DA5A2E">
      <w:pPr>
        <w:autoSpaceDE/>
        <w:autoSpaceDN/>
        <w:jc w:val="both"/>
        <w:rPr>
          <w:rFonts w:ascii="Arial" w:hAnsi="Arial" w:cs="Arial"/>
          <w:sz w:val="18"/>
          <w:szCs w:val="18"/>
        </w:rPr>
      </w:pPr>
      <w:r w:rsidRPr="00996806">
        <w:rPr>
          <w:rFonts w:ascii="Arial" w:hAnsi="Arial" w:cs="Arial"/>
          <w:sz w:val="18"/>
          <w:szCs w:val="18"/>
        </w:rPr>
        <w:t>Aktuální přehled projektů a nemovitostí je prezentován v prodejním centru společnosti SATPO management, s.r.o. na adrese Holečkova 3331/35, Praha 5</w:t>
      </w:r>
      <w:bookmarkStart w:id="1" w:name="_Hlk48725050"/>
      <w:r w:rsidRPr="00996806">
        <w:rPr>
          <w:rFonts w:ascii="Arial" w:hAnsi="Arial" w:cs="Arial"/>
          <w:sz w:val="18"/>
          <w:szCs w:val="18"/>
        </w:rPr>
        <w:t xml:space="preserve">. Více informací na </w:t>
      </w:r>
      <w:hyperlink r:id="rId9" w:history="1">
        <w:r w:rsidRPr="00E322AE">
          <w:rPr>
            <w:rStyle w:val="Hypertextovodkaz"/>
            <w:rFonts w:ascii="Arial" w:hAnsi="Arial" w:cs="Arial"/>
            <w:color w:val="auto"/>
            <w:sz w:val="18"/>
            <w:szCs w:val="18"/>
          </w:rPr>
          <w:t>www.satpo.cz</w:t>
        </w:r>
      </w:hyperlink>
      <w:bookmarkEnd w:id="1"/>
      <w:r w:rsidR="00970E37">
        <w:rPr>
          <w:rFonts w:ascii="Arial" w:hAnsi="Arial" w:cs="Arial"/>
          <w:sz w:val="18"/>
          <w:szCs w:val="18"/>
        </w:rPr>
        <w:t>.</w:t>
      </w:r>
    </w:p>
    <w:bookmarkEnd w:id="0"/>
    <w:p w14:paraId="70295967" w14:textId="6C50075E" w:rsidR="00DA5A2E" w:rsidRDefault="00DA5A2E" w:rsidP="00DA5A2E">
      <w:pPr>
        <w:adjustRightInd w:val="0"/>
        <w:rPr>
          <w:rFonts w:ascii="Arial" w:hAnsi="Arial" w:cs="Arial"/>
          <w:sz w:val="20"/>
          <w:szCs w:val="20"/>
        </w:rPr>
      </w:pPr>
    </w:p>
    <w:p w14:paraId="55379596" w14:textId="77777777" w:rsidR="00BA6E68" w:rsidRDefault="00BA6E68" w:rsidP="00DA5A2E">
      <w:pPr>
        <w:adjustRightInd w:val="0"/>
        <w:rPr>
          <w:rFonts w:ascii="Arial" w:hAnsi="Arial" w:cs="Arial"/>
          <w:sz w:val="20"/>
          <w:szCs w:val="20"/>
        </w:rPr>
      </w:pPr>
    </w:p>
    <w:p w14:paraId="7D57CA50" w14:textId="77777777" w:rsidR="00DA5A2E" w:rsidRPr="00055153" w:rsidRDefault="00DA5A2E" w:rsidP="00DA5A2E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BF94FAE" w14:textId="77777777" w:rsidR="00DA5A2E" w:rsidRPr="001E2331" w:rsidRDefault="00DA5A2E" w:rsidP="00DA5A2E">
      <w:pPr>
        <w:adjustRightInd w:val="0"/>
        <w:rPr>
          <w:rFonts w:ascii="Arial" w:hAnsi="Arial" w:cs="Arial"/>
          <w:b/>
          <w:color w:val="000000"/>
          <w:sz w:val="19"/>
          <w:szCs w:val="19"/>
        </w:rPr>
      </w:pPr>
      <w:r w:rsidRPr="001E2331">
        <w:rPr>
          <w:rFonts w:ascii="Arial" w:hAnsi="Arial" w:cs="Arial"/>
          <w:b/>
          <w:color w:val="000000"/>
          <w:sz w:val="19"/>
          <w:szCs w:val="19"/>
        </w:rPr>
        <w:t>KONTAKT PRO MÉDIA:</w:t>
      </w:r>
    </w:p>
    <w:p w14:paraId="1672A05A" w14:textId="77777777" w:rsidR="00DA5A2E" w:rsidRDefault="00DA5A2E" w:rsidP="00DA5A2E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7E63E1" w14:textId="77777777" w:rsidR="00DA5A2E" w:rsidRPr="00055153" w:rsidRDefault="00DA5A2E" w:rsidP="00DA5A2E">
      <w:pPr>
        <w:adjustRightInd w:val="0"/>
        <w:rPr>
          <w:rFonts w:ascii="Arial" w:hAnsi="Arial" w:cs="Arial"/>
          <w:noProof/>
          <w:color w:val="000000"/>
          <w:sz w:val="18"/>
          <w:szCs w:val="18"/>
        </w:rPr>
      </w:pPr>
      <w:r w:rsidRPr="00055153">
        <w:rPr>
          <w:rFonts w:ascii="Arial" w:hAnsi="Arial" w:cs="Arial"/>
          <w:noProof/>
          <w:color w:val="000000"/>
          <w:sz w:val="18"/>
          <w:szCs w:val="18"/>
        </w:rPr>
        <w:t xml:space="preserve">Ing. Tereza Tomšů </w:t>
      </w:r>
    </w:p>
    <w:p w14:paraId="79CA77A4" w14:textId="77777777" w:rsidR="00DA5A2E" w:rsidRPr="00055153" w:rsidRDefault="00DA5A2E" w:rsidP="00DA5A2E">
      <w:pPr>
        <w:adjustRightInd w:val="0"/>
        <w:rPr>
          <w:rFonts w:ascii="Arial" w:hAnsi="Arial" w:cs="Arial"/>
          <w:noProof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t>marketingová manažerka</w:t>
      </w:r>
    </w:p>
    <w:p w14:paraId="675CC4AA" w14:textId="77777777" w:rsidR="00DA5A2E" w:rsidRPr="00055153" w:rsidRDefault="00DA5A2E" w:rsidP="00DA5A2E">
      <w:pPr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CF191C9" w14:textId="77777777" w:rsidR="00DA5A2E" w:rsidRPr="00055153" w:rsidRDefault="00DA5A2E" w:rsidP="00DA5A2E">
      <w:pPr>
        <w:adjustRightInd w:val="0"/>
        <w:rPr>
          <w:rFonts w:ascii="Arial" w:hAnsi="Arial" w:cs="Arial"/>
          <w:color w:val="000000"/>
          <w:sz w:val="18"/>
          <w:szCs w:val="18"/>
        </w:rPr>
      </w:pPr>
      <w:r w:rsidRPr="00055153">
        <w:rPr>
          <w:rFonts w:ascii="Arial" w:hAnsi="Arial" w:cs="Arial"/>
          <w:color w:val="000000"/>
          <w:sz w:val="18"/>
          <w:szCs w:val="18"/>
        </w:rPr>
        <w:t>SATPO management, s.r.o.| Holečkova 3331/35 | Praha 5</w:t>
      </w:r>
    </w:p>
    <w:p w14:paraId="0A72B8AB" w14:textId="17D187B8" w:rsidR="00DA5A2E" w:rsidRPr="00887C9E" w:rsidRDefault="00DA5A2E" w:rsidP="00DA5A2E">
      <w:pPr>
        <w:adjustRightInd w:val="0"/>
        <w:rPr>
          <w:rStyle w:val="Hypertextovodkaz"/>
          <w:rFonts w:ascii="Arial" w:hAnsi="Arial" w:cs="Arial"/>
          <w:color w:val="000000"/>
          <w:sz w:val="18"/>
          <w:szCs w:val="18"/>
          <w:u w:val="none"/>
        </w:rPr>
      </w:pPr>
      <w:r w:rsidRPr="00D668DC">
        <w:rPr>
          <w:rFonts w:ascii="Arial" w:hAnsi="Arial" w:cs="Arial"/>
          <w:sz w:val="18"/>
          <w:szCs w:val="18"/>
        </w:rPr>
        <w:t>tomsu@satpo.cz |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55153">
        <w:rPr>
          <w:rFonts w:ascii="Arial" w:hAnsi="Arial" w:cs="Arial"/>
          <w:color w:val="000000"/>
          <w:sz w:val="18"/>
          <w:szCs w:val="18"/>
        </w:rPr>
        <w:t>+420 702 205 205 | +420 296 336</w:t>
      </w:r>
      <w:r>
        <w:rPr>
          <w:rFonts w:ascii="Arial" w:hAnsi="Arial" w:cs="Arial"/>
          <w:color w:val="000000"/>
          <w:sz w:val="18"/>
          <w:szCs w:val="18"/>
        </w:rPr>
        <w:t> </w:t>
      </w:r>
      <w:r w:rsidRPr="00055153">
        <w:rPr>
          <w:rFonts w:ascii="Arial" w:hAnsi="Arial" w:cs="Arial"/>
          <w:color w:val="000000"/>
          <w:sz w:val="18"/>
          <w:szCs w:val="18"/>
        </w:rPr>
        <w:t>900</w:t>
      </w:r>
    </w:p>
    <w:p w14:paraId="3C7AF330" w14:textId="77777777" w:rsidR="00DA5A2E" w:rsidRDefault="00DA5A2E" w:rsidP="00DA5A2E">
      <w:pPr>
        <w:pStyle w:val="Normlnweb"/>
        <w:shd w:val="clear" w:color="auto" w:fill="FFFFFF"/>
        <w:spacing w:before="240" w:beforeAutospacing="0" w:after="240" w:afterAutospacing="0" w:line="360" w:lineRule="atLeast"/>
        <w:rPr>
          <w:rFonts w:ascii="Roboto" w:hAnsi="Roboto"/>
          <w:color w:val="000000"/>
          <w:sz w:val="29"/>
          <w:szCs w:val="29"/>
        </w:rPr>
      </w:pPr>
    </w:p>
    <w:p w14:paraId="76EEE21F" w14:textId="77777777" w:rsidR="00DA5A2E" w:rsidRDefault="00DA5A2E" w:rsidP="00DA5A2E">
      <w:pPr>
        <w:pStyle w:val="Normlnweb"/>
        <w:shd w:val="clear" w:color="auto" w:fill="FFFFFF"/>
        <w:spacing w:before="240" w:beforeAutospacing="0" w:after="240" w:afterAutospacing="0" w:line="360" w:lineRule="atLeast"/>
        <w:rPr>
          <w:rFonts w:ascii="Roboto" w:hAnsi="Roboto"/>
          <w:color w:val="000000"/>
          <w:sz w:val="29"/>
          <w:szCs w:val="29"/>
        </w:rPr>
      </w:pPr>
    </w:p>
    <w:p w14:paraId="08BE8EE6" w14:textId="77777777" w:rsidR="004F298E" w:rsidRDefault="004F298E" w:rsidP="004F298E">
      <w:pPr>
        <w:pStyle w:val="Zkladnodstavec"/>
      </w:pPr>
    </w:p>
    <w:p w14:paraId="60ABB427" w14:textId="260789B8" w:rsidR="004F298E" w:rsidRPr="003B5B17" w:rsidRDefault="004F298E" w:rsidP="004F298E">
      <w:pPr>
        <w:rPr>
          <w:rFonts w:ascii="Arial" w:hAnsi="Arial" w:cs="Arial"/>
          <w:sz w:val="20"/>
          <w:szCs w:val="20"/>
        </w:rPr>
      </w:pPr>
    </w:p>
    <w:sectPr w:rsidR="004F298E" w:rsidRPr="003B5B17" w:rsidSect="00EB7200">
      <w:headerReference w:type="default" r:id="rId10"/>
      <w:footerReference w:type="default" r:id="rId11"/>
      <w:type w:val="continuous"/>
      <w:pgSz w:w="11900" w:h="16840"/>
      <w:pgMar w:top="1440" w:right="964" w:bottom="1440" w:left="964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C6B1" w14:textId="77777777" w:rsidR="00B505FC" w:rsidRDefault="00B505FC" w:rsidP="00D96277">
      <w:r>
        <w:separator/>
      </w:r>
    </w:p>
  </w:endnote>
  <w:endnote w:type="continuationSeparator" w:id="0">
    <w:p w14:paraId="1F668AAF" w14:textId="77777777" w:rsidR="00B505FC" w:rsidRDefault="00B505FC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charset w:val="00"/>
    <w:family w:val="swiss"/>
    <w:pitch w:val="variable"/>
    <w:sig w:usb0="A00002A7" w:usb1="00000041" w:usb2="00000000" w:usb3="00000000" w:csb0="0000009F" w:csb1="00000000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7E48" w14:textId="1ED22290" w:rsidR="00D96277" w:rsidRDefault="00D96277" w:rsidP="00D96277">
    <w:pPr>
      <w:pStyle w:val="Zkladntext"/>
      <w:spacing w:before="6"/>
      <w:rPr>
        <w:sz w:val="13"/>
      </w:rPr>
    </w:pPr>
  </w:p>
  <w:p w14:paraId="06335432" w14:textId="7181A625" w:rsidR="00D96277" w:rsidRDefault="00D96277" w:rsidP="00D96277">
    <w:pPr>
      <w:pStyle w:val="Zkladntext"/>
      <w:spacing w:before="6"/>
      <w:rPr>
        <w:sz w:val="13"/>
      </w:rPr>
    </w:pPr>
  </w:p>
  <w:p w14:paraId="7A31B2F1" w14:textId="137F4A4B" w:rsidR="00D96277" w:rsidRDefault="00D96277" w:rsidP="00D96277">
    <w:pPr>
      <w:pStyle w:val="Zkladntext"/>
      <w:spacing w:before="6"/>
      <w:rPr>
        <w:sz w:val="13"/>
      </w:rPr>
    </w:pPr>
  </w:p>
  <w:p w14:paraId="5FAAB667" w14:textId="0F503971" w:rsidR="00D96277" w:rsidRDefault="00D96277" w:rsidP="00D96277">
    <w:pPr>
      <w:pStyle w:val="Zkladntext"/>
      <w:spacing w:before="6"/>
      <w:rPr>
        <w:sz w:val="13"/>
      </w:rPr>
    </w:pPr>
  </w:p>
  <w:p w14:paraId="332468C2" w14:textId="4866B11F" w:rsidR="00D96277" w:rsidRDefault="00D96277" w:rsidP="00D96277">
    <w:pPr>
      <w:pStyle w:val="Zkladntext"/>
      <w:spacing w:before="6"/>
      <w:rPr>
        <w:sz w:val="13"/>
      </w:rPr>
    </w:pPr>
  </w:p>
  <w:p w14:paraId="1E9CD0C0" w14:textId="6823909D" w:rsidR="009C4116" w:rsidRPr="00B47932" w:rsidRDefault="00864CEC" w:rsidP="00EB7200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8"/>
        <w:szCs w:val="18"/>
      </w:rPr>
    </w:pPr>
    <w:r w:rsidRPr="00B47932">
      <w:rPr>
        <w:rFonts w:ascii="DIN Next W1G Medium" w:hAnsi="DIN Next W1G Medium" w:cs="DIN Next W1G"/>
        <w:sz w:val="18"/>
        <w:szCs w:val="18"/>
      </w:rPr>
      <w:t>společnost SATPO</w:t>
    </w:r>
    <w:r w:rsidR="006951FF" w:rsidRPr="00B47932">
      <w:rPr>
        <w:rFonts w:ascii="DIN Next W1G Medium" w:hAnsi="DIN Next W1G Medium" w:cs="DIN Next W1G"/>
        <w:sz w:val="18"/>
        <w:szCs w:val="18"/>
      </w:rPr>
      <w:t xml:space="preserve">  </w:t>
    </w:r>
    <w:r w:rsidR="006351C1" w:rsidRPr="00B47932">
      <w:rPr>
        <w:rFonts w:ascii="DIN Next W1G Medium" w:hAnsi="DIN Next W1G Medium" w:cs="DIN Next W1G Medium"/>
        <w:color w:val="9E0002"/>
        <w:sz w:val="18"/>
        <w:szCs w:val="18"/>
      </w:rPr>
      <w:t>|</w:t>
    </w:r>
    <w:r w:rsidR="006351C1" w:rsidRPr="00B47932">
      <w:rPr>
        <w:rFonts w:ascii="DIN Next W1G Medium" w:hAnsi="DIN Next W1G Medium" w:cs="DIN Next W1G Medium"/>
        <w:color w:val="9E0002"/>
        <w:spacing w:val="-8"/>
        <w:sz w:val="18"/>
        <w:szCs w:val="18"/>
        <w:lang w:val="en-US"/>
      </w:rPr>
      <w:t> </w:t>
    </w:r>
    <w:r w:rsidR="009C4116" w:rsidRPr="00B47932">
      <w:rPr>
        <w:rFonts w:ascii="DIN Next W1G Light" w:hAnsi="DIN Next W1G Light" w:cs="DIN Next W1G Light"/>
        <w:sz w:val="18"/>
        <w:szCs w:val="18"/>
      </w:rPr>
      <w:t>Holečkova 3331/</w:t>
    </w:r>
    <w:r w:rsidR="006351C1" w:rsidRPr="00B47932">
      <w:rPr>
        <w:rFonts w:ascii="DIN Next W1G Light" w:hAnsi="DIN Next W1G Light" w:cs="DIN Next W1G Light"/>
        <w:sz w:val="18"/>
        <w:szCs w:val="18"/>
      </w:rPr>
      <w:t xml:space="preserve">35  </w:t>
    </w:r>
    <w:r w:rsidR="006351C1" w:rsidRPr="00B47932">
      <w:rPr>
        <w:rFonts w:ascii="DIN Next W1G Medium" w:hAnsi="DIN Next W1G Medium" w:cs="DIN Next W1G Medium"/>
        <w:color w:val="9E0002"/>
        <w:sz w:val="18"/>
        <w:szCs w:val="18"/>
      </w:rPr>
      <w:t>|</w:t>
    </w:r>
    <w:r w:rsidR="006351C1" w:rsidRPr="00B47932">
      <w:rPr>
        <w:rFonts w:ascii="DIN Next W1G Medium" w:hAnsi="DIN Next W1G Medium" w:cs="DIN Next W1G Medium"/>
        <w:color w:val="9E0002"/>
        <w:spacing w:val="-8"/>
        <w:sz w:val="18"/>
        <w:szCs w:val="18"/>
        <w:lang w:val="en-US"/>
      </w:rPr>
      <w:t> </w:t>
    </w:r>
    <w:r w:rsidR="009C4116" w:rsidRPr="00B47932">
      <w:rPr>
        <w:rFonts w:ascii="DIN Next W1G Light" w:hAnsi="DIN Next W1G Light" w:cs="DIN Next W1G Light"/>
        <w:sz w:val="18"/>
        <w:szCs w:val="18"/>
      </w:rPr>
      <w:t>150 00 Praha 5</w:t>
    </w:r>
    <w:r w:rsidR="006351C1" w:rsidRPr="00B47932">
      <w:rPr>
        <w:rFonts w:ascii="DIN Next W1G Light" w:hAnsi="DIN Next W1G Light" w:cs="DIN Next W1G Light"/>
        <w:sz w:val="18"/>
        <w:szCs w:val="18"/>
      </w:rPr>
      <w:t xml:space="preserve">  </w:t>
    </w:r>
    <w:r w:rsidR="006351C1" w:rsidRPr="00B47932">
      <w:rPr>
        <w:rFonts w:ascii="DIN Next W1G Medium" w:hAnsi="DIN Next W1G Medium" w:cs="DIN Next W1G Medium"/>
        <w:color w:val="9E0002"/>
        <w:sz w:val="18"/>
        <w:szCs w:val="18"/>
      </w:rPr>
      <w:t>|</w:t>
    </w:r>
    <w:r w:rsidR="006351C1" w:rsidRPr="00B47932">
      <w:rPr>
        <w:rFonts w:ascii="DIN Next W1G Medium" w:hAnsi="DIN Next W1G Medium" w:cs="DIN Next W1G Medium"/>
        <w:color w:val="9E0002"/>
        <w:spacing w:val="-8"/>
        <w:sz w:val="18"/>
        <w:szCs w:val="18"/>
        <w:lang w:val="en-US"/>
      </w:rPr>
      <w:t> </w:t>
    </w:r>
    <w:r w:rsidR="009C4116" w:rsidRPr="00B47932">
      <w:rPr>
        <w:rFonts w:ascii="DIN Next W1G Light" w:hAnsi="DIN Next W1G Light" w:cs="DIN Next W1G Light"/>
        <w:sz w:val="18"/>
        <w:szCs w:val="18"/>
      </w:rPr>
      <w:t>+420 296 336 900</w:t>
    </w:r>
    <w:r w:rsidR="006351C1" w:rsidRPr="00B47932">
      <w:rPr>
        <w:rFonts w:ascii="DIN Next W1G Light" w:hAnsi="DIN Next W1G Light" w:cs="DIN Next W1G Light"/>
        <w:sz w:val="18"/>
        <w:szCs w:val="18"/>
      </w:rPr>
      <w:t xml:space="preserve">  </w:t>
    </w:r>
    <w:r w:rsidR="006351C1" w:rsidRPr="00B47932">
      <w:rPr>
        <w:rFonts w:ascii="DIN Next W1G Medium" w:hAnsi="DIN Next W1G Medium" w:cs="DIN Next W1G Medium"/>
        <w:color w:val="9E0002"/>
        <w:sz w:val="18"/>
        <w:szCs w:val="18"/>
      </w:rPr>
      <w:t>|</w:t>
    </w:r>
    <w:r w:rsidR="006351C1" w:rsidRPr="00B47932">
      <w:rPr>
        <w:rFonts w:ascii="DIN Next W1G Medium" w:hAnsi="DIN Next W1G Medium" w:cs="DIN Next W1G Medium"/>
        <w:color w:val="9E0002"/>
        <w:spacing w:val="-8"/>
        <w:sz w:val="18"/>
        <w:szCs w:val="18"/>
        <w:lang w:val="en-US"/>
      </w:rPr>
      <w:t> </w:t>
    </w:r>
    <w:r w:rsidR="009C4116" w:rsidRPr="00B47932">
      <w:rPr>
        <w:rFonts w:ascii="DIN Next W1G Light" w:hAnsi="DIN Next W1G Light" w:cs="DIN Next W1G Light"/>
        <w:sz w:val="18"/>
        <w:szCs w:val="18"/>
      </w:rPr>
      <w:t>www.satpo.cz</w:t>
    </w:r>
    <w:r w:rsidR="003B5B17" w:rsidRPr="00B47932">
      <w:rPr>
        <w:rFonts w:ascii="DIN Next W1G Light" w:hAnsi="DIN Next W1G Light" w:cs="DIN Next W1G Light"/>
        <w:sz w:val="18"/>
        <w:szCs w:val="18"/>
      </w:rPr>
      <w:t xml:space="preserve">  </w:t>
    </w:r>
    <w:r w:rsidR="003B5B17" w:rsidRPr="00B47932">
      <w:rPr>
        <w:rFonts w:ascii="DIN Next W1G Medium" w:hAnsi="DIN Next W1G Medium" w:cs="DIN Next W1G Medium"/>
        <w:color w:val="9E0002"/>
        <w:sz w:val="18"/>
        <w:szCs w:val="18"/>
      </w:rPr>
      <w:t>|</w:t>
    </w:r>
    <w:r w:rsidR="003B5B17" w:rsidRPr="00B47932">
      <w:rPr>
        <w:rFonts w:ascii="DIN Next W1G Medium" w:hAnsi="DIN Next W1G Medium" w:cs="DIN Next W1G Medium"/>
        <w:color w:val="9E0002"/>
        <w:spacing w:val="-8"/>
        <w:sz w:val="18"/>
        <w:szCs w:val="18"/>
        <w:lang w:val="en-US"/>
      </w:rPr>
      <w:t> </w:t>
    </w:r>
    <w:r w:rsidR="00EB7200" w:rsidRPr="00B47932">
      <w:rPr>
        <w:rFonts w:ascii="DIN Next W1G Light" w:hAnsi="DIN Next W1G Light" w:cs="DIN Next W1G Light"/>
        <w:sz w:val="18"/>
        <w:szCs w:val="18"/>
      </w:rPr>
      <w:t>info</w:t>
    </w:r>
    <w:r w:rsidR="003B5B17" w:rsidRPr="00B47932">
      <w:rPr>
        <w:rFonts w:ascii="DIN Next W1G Light" w:hAnsi="DIN Next W1G Light" w:cs="DIN Next W1G Light"/>
        <w:sz w:val="18"/>
        <w:szCs w:val="18"/>
      </w:rPr>
      <w:t>@satpo.cz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2392" w14:textId="77777777" w:rsidR="00B505FC" w:rsidRDefault="00B505FC" w:rsidP="00D96277">
      <w:r>
        <w:separator/>
      </w:r>
    </w:p>
  </w:footnote>
  <w:footnote w:type="continuationSeparator" w:id="0">
    <w:p w14:paraId="00A964A4" w14:textId="77777777" w:rsidR="00B505FC" w:rsidRDefault="00B505FC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23F" w14:textId="376E664C" w:rsidR="00B15D6B" w:rsidRDefault="00BD05A5" w:rsidP="00127AF9">
    <w:pPr>
      <w:pStyle w:val="Zhlav"/>
      <w:tabs>
        <w:tab w:val="clear" w:pos="4536"/>
        <w:tab w:val="clear" w:pos="9072"/>
        <w:tab w:val="left" w:pos="8200"/>
      </w:tabs>
      <w:ind w:left="7710"/>
    </w:pPr>
    <w:r>
      <w:t xml:space="preserve">                                                           </w:t>
    </w:r>
    <w:r w:rsidR="00864CEC">
      <w:t xml:space="preserve">   </w:t>
    </w:r>
    <w:r w:rsidR="00864CEC" w:rsidRPr="00864CEC">
      <w:rPr>
        <w:noProof/>
      </w:rPr>
      <w:drawing>
        <wp:inline distT="0" distB="0" distL="0" distR="0" wp14:anchorId="7F5CBAE9" wp14:editId="237B77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8B21AD" w14:textId="4B330ABB" w:rsidR="00C60B46" w:rsidRDefault="009C4116" w:rsidP="000B646A">
    <w:pPr>
      <w:pStyle w:val="Zhlav"/>
      <w:tabs>
        <w:tab w:val="clear" w:pos="4536"/>
        <w:tab w:val="clear" w:pos="9072"/>
        <w:tab w:val="left" w:pos="7440"/>
      </w:tabs>
    </w:pPr>
    <w: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num w:numId="1" w16cid:durableId="948201517">
    <w:abstractNumId w:val="1"/>
  </w:num>
  <w:num w:numId="2" w16cid:durableId="277882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3385B"/>
    <w:rsid w:val="0007749A"/>
    <w:rsid w:val="00097162"/>
    <w:rsid w:val="000B646A"/>
    <w:rsid w:val="000B65C7"/>
    <w:rsid w:val="00110AFB"/>
    <w:rsid w:val="00127AF9"/>
    <w:rsid w:val="001418C0"/>
    <w:rsid w:val="001469FD"/>
    <w:rsid w:val="0015402F"/>
    <w:rsid w:val="001A4C90"/>
    <w:rsid w:val="001C70F8"/>
    <w:rsid w:val="001D715B"/>
    <w:rsid w:val="002439BE"/>
    <w:rsid w:val="002551F1"/>
    <w:rsid w:val="00255DA8"/>
    <w:rsid w:val="002A35E3"/>
    <w:rsid w:val="002A6107"/>
    <w:rsid w:val="002D6713"/>
    <w:rsid w:val="002E699D"/>
    <w:rsid w:val="002E7DAF"/>
    <w:rsid w:val="002F5120"/>
    <w:rsid w:val="003120E8"/>
    <w:rsid w:val="0037419E"/>
    <w:rsid w:val="003B5B17"/>
    <w:rsid w:val="003F0A0A"/>
    <w:rsid w:val="003F750B"/>
    <w:rsid w:val="004176B0"/>
    <w:rsid w:val="00423D4E"/>
    <w:rsid w:val="00443F80"/>
    <w:rsid w:val="00453EC6"/>
    <w:rsid w:val="00467DF3"/>
    <w:rsid w:val="004809EC"/>
    <w:rsid w:val="004A3EFC"/>
    <w:rsid w:val="004B46BE"/>
    <w:rsid w:val="004F298E"/>
    <w:rsid w:val="0053164F"/>
    <w:rsid w:val="00531EF5"/>
    <w:rsid w:val="00550905"/>
    <w:rsid w:val="00570A33"/>
    <w:rsid w:val="00582C8C"/>
    <w:rsid w:val="005D266E"/>
    <w:rsid w:val="005E18C1"/>
    <w:rsid w:val="005F3D0F"/>
    <w:rsid w:val="006351C1"/>
    <w:rsid w:val="00636C59"/>
    <w:rsid w:val="00662617"/>
    <w:rsid w:val="0066420B"/>
    <w:rsid w:val="006951FF"/>
    <w:rsid w:val="006F5A23"/>
    <w:rsid w:val="00731A23"/>
    <w:rsid w:val="00752AAE"/>
    <w:rsid w:val="007558BB"/>
    <w:rsid w:val="00755E98"/>
    <w:rsid w:val="00773CA1"/>
    <w:rsid w:val="0078181A"/>
    <w:rsid w:val="007D0B2A"/>
    <w:rsid w:val="00814916"/>
    <w:rsid w:val="008523CD"/>
    <w:rsid w:val="00857243"/>
    <w:rsid w:val="00864CEC"/>
    <w:rsid w:val="00880BD5"/>
    <w:rsid w:val="008C64F2"/>
    <w:rsid w:val="0092301A"/>
    <w:rsid w:val="009242D1"/>
    <w:rsid w:val="00944410"/>
    <w:rsid w:val="00970E37"/>
    <w:rsid w:val="00983099"/>
    <w:rsid w:val="009B274D"/>
    <w:rsid w:val="009C4116"/>
    <w:rsid w:val="009E61F1"/>
    <w:rsid w:val="00A045E4"/>
    <w:rsid w:val="00A05D70"/>
    <w:rsid w:val="00A12A99"/>
    <w:rsid w:val="00A201FF"/>
    <w:rsid w:val="00A95E26"/>
    <w:rsid w:val="00AD011C"/>
    <w:rsid w:val="00AE3731"/>
    <w:rsid w:val="00AF5137"/>
    <w:rsid w:val="00B15D6B"/>
    <w:rsid w:val="00B47932"/>
    <w:rsid w:val="00B505FC"/>
    <w:rsid w:val="00BA4E20"/>
    <w:rsid w:val="00BA6E68"/>
    <w:rsid w:val="00BB3907"/>
    <w:rsid w:val="00BD05A5"/>
    <w:rsid w:val="00BD085A"/>
    <w:rsid w:val="00BE72E7"/>
    <w:rsid w:val="00C00700"/>
    <w:rsid w:val="00C30A41"/>
    <w:rsid w:val="00C57F95"/>
    <w:rsid w:val="00C60B46"/>
    <w:rsid w:val="00CB076C"/>
    <w:rsid w:val="00CD20AD"/>
    <w:rsid w:val="00CF56CD"/>
    <w:rsid w:val="00CF58A2"/>
    <w:rsid w:val="00D30AC8"/>
    <w:rsid w:val="00D96277"/>
    <w:rsid w:val="00DA5A2E"/>
    <w:rsid w:val="00DB1EC3"/>
    <w:rsid w:val="00DB33CA"/>
    <w:rsid w:val="00DC1ED8"/>
    <w:rsid w:val="00DD7181"/>
    <w:rsid w:val="00DE0C26"/>
    <w:rsid w:val="00DF53FF"/>
    <w:rsid w:val="00E652CD"/>
    <w:rsid w:val="00E97E1D"/>
    <w:rsid w:val="00EB7200"/>
    <w:rsid w:val="00F021AD"/>
    <w:rsid w:val="00F64C6B"/>
    <w:rsid w:val="00FE4A29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4F298E"/>
  </w:style>
  <w:style w:type="paragraph" w:styleId="Normlnweb">
    <w:name w:val="Normal (Web)"/>
    <w:basedOn w:val="Normln"/>
    <w:uiPriority w:val="99"/>
    <w:unhideWhenUsed/>
    <w:rsid w:val="00DA5A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1A4C90"/>
    <w:pPr>
      <w:widowControl/>
      <w:autoSpaceDE/>
      <w:autoSpaceDN/>
    </w:pPr>
    <w:rPr>
      <w:rFonts w:ascii="Arial" w:hAnsi="Arial" w:cs="Times New Roman"/>
      <w:sz w:val="20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1A4C90"/>
    <w:rPr>
      <w:rFonts w:ascii="Arial" w:eastAsia="Calibri" w:hAnsi="Arial" w:cs="Times New Roman"/>
      <w:sz w:val="20"/>
      <w:szCs w:val="21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t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tp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39938D-636D-0D46-8CD0-D40490EA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522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Tomšů Tereza</cp:lastModifiedBy>
  <cp:revision>6</cp:revision>
  <cp:lastPrinted>2020-10-01T09:34:00Z</cp:lastPrinted>
  <dcterms:created xsi:type="dcterms:W3CDTF">2022-05-09T07:48:00Z</dcterms:created>
  <dcterms:modified xsi:type="dcterms:W3CDTF">2022-05-13T09:08:00Z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</Properties>
</file>